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D4" w:rsidRDefault="005170D4" w:rsidP="00731E94">
      <w:pPr>
        <w:pStyle w:val="ConsPlusNormal"/>
        <w:jc w:val="both"/>
      </w:pPr>
    </w:p>
    <w:p w:rsidR="005170D4" w:rsidRDefault="005170D4">
      <w:pPr>
        <w:pStyle w:val="ConsPlusNormal"/>
        <w:jc w:val="right"/>
      </w:pPr>
      <w:r>
        <w:t>Приложение N 1</w:t>
      </w:r>
    </w:p>
    <w:p w:rsidR="005170D4" w:rsidRDefault="005170D4">
      <w:pPr>
        <w:pStyle w:val="ConsPlusNormal"/>
        <w:jc w:val="right"/>
      </w:pPr>
      <w:r>
        <w:t>к Решению</w:t>
      </w:r>
    </w:p>
    <w:p w:rsidR="005170D4" w:rsidRDefault="005170D4">
      <w:pPr>
        <w:pStyle w:val="ConsPlusNormal"/>
        <w:jc w:val="right"/>
      </w:pPr>
      <w:proofErr w:type="spellStart"/>
      <w:r>
        <w:t>Суражского</w:t>
      </w:r>
      <w:proofErr w:type="spellEnd"/>
      <w:r>
        <w:t xml:space="preserve"> районного</w:t>
      </w:r>
    </w:p>
    <w:p w:rsidR="005170D4" w:rsidRDefault="005170D4">
      <w:pPr>
        <w:pStyle w:val="ConsPlusNormal"/>
        <w:jc w:val="right"/>
      </w:pPr>
      <w:r>
        <w:t>Совета народных депутатов</w:t>
      </w:r>
    </w:p>
    <w:p w:rsidR="005170D4" w:rsidRDefault="005170D4">
      <w:pPr>
        <w:pStyle w:val="ConsPlusNormal"/>
        <w:jc w:val="right"/>
      </w:pPr>
      <w:r>
        <w:t>N 132 от 27.11.2015</w:t>
      </w:r>
    </w:p>
    <w:p w:rsidR="005170D4" w:rsidRDefault="005170D4">
      <w:pPr>
        <w:pStyle w:val="ConsPlusNormal"/>
        <w:jc w:val="right"/>
      </w:pPr>
      <w:r>
        <w:t>"О внесении изменений</w:t>
      </w:r>
    </w:p>
    <w:p w:rsidR="005170D4" w:rsidRDefault="005170D4">
      <w:pPr>
        <w:pStyle w:val="ConsPlusNormal"/>
        <w:jc w:val="right"/>
      </w:pPr>
      <w:r>
        <w:t>и дополнений в Постановление</w:t>
      </w:r>
    </w:p>
    <w:p w:rsidR="005170D4" w:rsidRDefault="005170D4">
      <w:pPr>
        <w:pStyle w:val="ConsPlusNormal"/>
        <w:jc w:val="right"/>
      </w:pPr>
      <w:r>
        <w:t>районного Совета народных</w:t>
      </w:r>
    </w:p>
    <w:p w:rsidR="005170D4" w:rsidRDefault="005170D4">
      <w:pPr>
        <w:pStyle w:val="ConsPlusNormal"/>
        <w:jc w:val="right"/>
      </w:pPr>
      <w:r>
        <w:t>депутатов от 28.09.2005 N 120</w:t>
      </w:r>
    </w:p>
    <w:p w:rsidR="005170D4" w:rsidRDefault="005170D4">
      <w:pPr>
        <w:pStyle w:val="ConsPlusNormal"/>
        <w:jc w:val="right"/>
      </w:pPr>
      <w:r>
        <w:t>"О системе налогообложения в виде</w:t>
      </w:r>
    </w:p>
    <w:p w:rsidR="005170D4" w:rsidRDefault="005170D4">
      <w:pPr>
        <w:pStyle w:val="ConsPlusNormal"/>
        <w:jc w:val="right"/>
      </w:pPr>
      <w:r>
        <w:t>единого налога на вмененный доход</w:t>
      </w:r>
    </w:p>
    <w:p w:rsidR="005170D4" w:rsidRDefault="005170D4">
      <w:pPr>
        <w:pStyle w:val="ConsPlusNormal"/>
        <w:jc w:val="right"/>
      </w:pPr>
      <w:r>
        <w:t>для отдельных видов деятельности"</w:t>
      </w:r>
    </w:p>
    <w:p w:rsidR="005170D4" w:rsidRDefault="005170D4">
      <w:pPr>
        <w:pStyle w:val="ConsPlusNormal"/>
        <w:ind w:firstLine="540"/>
        <w:jc w:val="both"/>
      </w:pPr>
    </w:p>
    <w:p w:rsidR="005170D4" w:rsidRDefault="005170D4">
      <w:pPr>
        <w:pStyle w:val="ConsPlusTitle"/>
        <w:jc w:val="center"/>
      </w:pPr>
      <w:bookmarkStart w:id="0" w:name="P38"/>
      <w:bookmarkEnd w:id="0"/>
      <w:r>
        <w:t>Значения корректирующего коэффициента</w:t>
      </w:r>
    </w:p>
    <w:p w:rsidR="005170D4" w:rsidRDefault="005170D4">
      <w:pPr>
        <w:pStyle w:val="ConsPlusTitle"/>
        <w:jc w:val="center"/>
      </w:pPr>
      <w:r>
        <w:t>базовой доходности К2</w:t>
      </w:r>
    </w:p>
    <w:p w:rsidR="005170D4" w:rsidRDefault="005170D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8"/>
        <w:gridCol w:w="1022"/>
        <w:gridCol w:w="1063"/>
        <w:gridCol w:w="1085"/>
        <w:gridCol w:w="1057"/>
      </w:tblGrid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Наименование видов деятельности, подлежащих переводу на единый налог на вмененный доход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bookmarkStart w:id="1" w:name="P42"/>
            <w:bookmarkEnd w:id="1"/>
            <w:r w:rsidRPr="00731E94">
              <w:t>группа 1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bookmarkStart w:id="2" w:name="P43"/>
            <w:bookmarkEnd w:id="2"/>
            <w:r w:rsidRPr="00731E94">
              <w:t>группа 2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bookmarkStart w:id="3" w:name="P44"/>
            <w:bookmarkEnd w:id="3"/>
            <w:r w:rsidRPr="00731E94">
              <w:t>группа 3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bookmarkStart w:id="4" w:name="P45"/>
            <w:bookmarkEnd w:id="4"/>
            <w:r w:rsidRPr="00731E94">
              <w:t>группа 4</w:t>
            </w:r>
          </w:p>
        </w:tc>
      </w:tr>
      <w:tr w:rsidR="00731E94" w:rsidRPr="00731E94">
        <w:tc>
          <w:tcPr>
            <w:tcW w:w="8795" w:type="dxa"/>
            <w:gridSpan w:val="5"/>
          </w:tcPr>
          <w:p w:rsidR="005170D4" w:rsidRPr="00731E94" w:rsidRDefault="005170D4">
            <w:pPr>
              <w:pStyle w:val="ConsPlusNormal"/>
            </w:pPr>
            <w:r w:rsidRPr="00731E94">
              <w:t xml:space="preserve">1. Оказание бытовых услуг, их групп, видов и (или) отдельных бытовых услуг, классифицируемых в соответствии с Общероссийским </w:t>
            </w:r>
            <w:hyperlink r:id="rId5" w:history="1">
              <w:r w:rsidRPr="00731E94">
                <w:t>классификатором</w:t>
              </w:r>
            </w:hyperlink>
            <w:r w:rsidRPr="00731E94">
              <w:t xml:space="preserve"> видов экономической деятельности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Ремонт обуви и прочих изделий из кожи (ОКВЭД 2 ОК 029-2014, </w:t>
            </w:r>
            <w:hyperlink r:id="rId6" w:history="1">
              <w:r w:rsidRPr="00731E94">
                <w:t>код 95.23</w:t>
              </w:r>
            </w:hyperlink>
            <w:r w:rsidRPr="00731E94">
              <w:t>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0,266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0,213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0,096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Чистка обуви (ОКВЭД 2 ОК 029-2014, </w:t>
            </w:r>
            <w:hyperlink r:id="rId7" w:history="1">
              <w:r w:rsidRPr="00731E94">
                <w:t>код 96.09</w:t>
              </w:r>
            </w:hyperlink>
            <w:r w:rsidRPr="00731E94">
              <w:t>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0,181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0,132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0,084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Ремонт одежды и текстильных изделий (ОКВЭД 2 ОК 029-2014, </w:t>
            </w:r>
            <w:hyperlink r:id="rId8" w:history="1">
              <w:r w:rsidRPr="00731E94">
                <w:t>код 95.29.1</w:t>
              </w:r>
            </w:hyperlink>
            <w:r w:rsidRPr="00731E94">
              <w:t>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0,397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0,298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0,166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0,086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Ремонт прочих бытовых изделий и предметов личного пользования (ОКВЭД 2 ОК 029-2014, </w:t>
            </w:r>
            <w:hyperlink r:id="rId9" w:history="1">
              <w:r w:rsidRPr="00731E94">
                <w:t>код 95.29.9</w:t>
              </w:r>
            </w:hyperlink>
            <w:r w:rsidRPr="00731E94">
              <w:t>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0,569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0,427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0,237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0,111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Ремонт часов и ювелирных изделий (ОКВЭД 2 ОК 029-2014, </w:t>
            </w:r>
            <w:hyperlink r:id="rId10" w:history="1">
              <w:r w:rsidRPr="00731E94">
                <w:t>код 95.25</w:t>
              </w:r>
            </w:hyperlink>
            <w:r w:rsidRPr="00731E94">
              <w:t xml:space="preserve">, </w:t>
            </w:r>
            <w:hyperlink r:id="rId11" w:history="1">
              <w:r w:rsidRPr="00731E94">
                <w:t>95.25.1</w:t>
              </w:r>
            </w:hyperlink>
            <w:r w:rsidRPr="00731E94">
              <w:t xml:space="preserve">, </w:t>
            </w:r>
            <w:hyperlink r:id="rId12" w:history="1">
              <w:r w:rsidRPr="00731E94">
                <w:t>95.25.2</w:t>
              </w:r>
            </w:hyperlink>
            <w:r w:rsidRPr="00731E94">
              <w:t>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0,356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0,285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0,120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0,086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Ремонт компьютеров и периферийного компьютерного оборудования (ОКВЭД 2 ОК 029-2014, </w:t>
            </w:r>
            <w:hyperlink r:id="rId13" w:history="1">
              <w:r w:rsidRPr="00731E94">
                <w:t>код 95.11</w:t>
              </w:r>
            </w:hyperlink>
            <w:r w:rsidRPr="00731E94">
              <w:t>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0,569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0,427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0,237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0,111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Ремонт электронной и бытовой техники (ОКВЭД 2 ОК 029-2014, </w:t>
            </w:r>
            <w:hyperlink r:id="rId14" w:history="1">
              <w:r w:rsidRPr="00731E94">
                <w:t>код 95.21</w:t>
              </w:r>
            </w:hyperlink>
            <w:r w:rsidRPr="00731E94">
              <w:t>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0,569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0,427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0,237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0,111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Ремонт мебели и предметов домашнего обихода (ОКВЭД 2 ОК 029-2014, </w:t>
            </w:r>
            <w:hyperlink r:id="rId15" w:history="1">
              <w:r w:rsidRPr="00731E94">
                <w:t>код 95.24</w:t>
              </w:r>
            </w:hyperlink>
            <w:r w:rsidRPr="00731E94">
              <w:t>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0,497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0,331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0,166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0,078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Стирка и химическая чистка текстильных и меховых изделий (ОКВЭД 2 ОК 029-2014, </w:t>
            </w:r>
            <w:hyperlink r:id="rId16" w:history="1">
              <w:r w:rsidRPr="00731E94">
                <w:t>код 96.01</w:t>
              </w:r>
            </w:hyperlink>
            <w:r w:rsidRPr="00731E94">
              <w:t>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0,331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0,249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0,084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Ремонт бытовых приборов, домашнего и </w:t>
            </w:r>
            <w:r w:rsidRPr="00731E94">
              <w:lastRenderedPageBreak/>
              <w:t xml:space="preserve">садового инвентаря (ОКВЭД 2 ОК 029-2014, </w:t>
            </w:r>
            <w:hyperlink r:id="rId17" w:history="1">
              <w:r w:rsidRPr="00731E94">
                <w:t>код 95.22</w:t>
              </w:r>
            </w:hyperlink>
            <w:r w:rsidRPr="00731E94">
              <w:t>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lastRenderedPageBreak/>
              <w:t>0,712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0,474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0,237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0,111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lastRenderedPageBreak/>
              <w:t>Услуги фотоателье и фото- и кинолабораторий (ОКВЭД 2 ОК 029-2014, код 95.09)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0331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0,249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0,084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Деятельность физкультурно-оздоровительная (ОКВЭД 2 ОК 029-2014, </w:t>
            </w:r>
            <w:hyperlink r:id="rId18" w:history="1">
              <w:r w:rsidRPr="00731E94">
                <w:t>код 96.04</w:t>
              </w:r>
            </w:hyperlink>
            <w:r w:rsidRPr="00731E94">
              <w:t>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0,510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0,350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0,238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0,111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Предоставление прочих персональных услуг, не включенных в другие группировки (ОКВЭД 2 ОК 029-2014, </w:t>
            </w:r>
            <w:hyperlink r:id="rId19" w:history="1">
              <w:r w:rsidRPr="00731E94">
                <w:t>код 96.09</w:t>
              </w:r>
            </w:hyperlink>
            <w:r w:rsidRPr="00731E94">
              <w:t>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0,510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0,350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0,238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0,111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Предоставление услуг парикмахерскими и салонами красоты (ОКВЭД 2 ОК 029-2014, </w:t>
            </w:r>
            <w:hyperlink r:id="rId20" w:history="1">
              <w:r w:rsidRPr="00731E94">
                <w:t>код 96.02</w:t>
              </w:r>
            </w:hyperlink>
            <w:r w:rsidRPr="00731E94">
              <w:t>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0,397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0,350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0,238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0,078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Организация похорон и предоставление связанных с ними услуг (ОКВЭД 2 ОК 029-2014, </w:t>
            </w:r>
            <w:hyperlink r:id="rId21" w:history="1">
              <w:r w:rsidRPr="00731E94">
                <w:t>код 96.03</w:t>
              </w:r>
            </w:hyperlink>
            <w:r w:rsidRPr="00731E94">
              <w:t>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0,427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0,350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0,238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0,085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2. Оказание ветеринарных услуг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0,249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0,165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0,084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0,053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3. Оказание услуг по ремонту, техническому обслуживанию и мойке автотранспортных средств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0,660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0,496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0,165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0,078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4.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0,911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0,730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0,456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0,341</w:t>
            </w:r>
          </w:p>
        </w:tc>
      </w:tr>
      <w:tr w:rsidR="00731E94" w:rsidRPr="00731E94">
        <w:tc>
          <w:tcPr>
            <w:tcW w:w="8795" w:type="dxa"/>
            <w:gridSpan w:val="5"/>
          </w:tcPr>
          <w:p w:rsidR="005170D4" w:rsidRPr="00731E94" w:rsidRDefault="005170D4">
            <w:pPr>
              <w:pStyle w:val="ConsPlusNormal"/>
              <w:jc w:val="both"/>
            </w:pPr>
            <w:r w:rsidRPr="00731E94">
              <w:t>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Оказание автотранспортных услуг по перевозке пассажиров, осуществляемых организациями и индивидуальными предпринимателями, с использованием легковых автомобилей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0,297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0,297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0,297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0,297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Оказание автотранспортных услуг по перевозке пассажиров, осуществляемых организациями и индивидуальными предпринимателями, с использованием автобусов вне маршрута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0,387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0,387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0,387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0,387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Оказание автотранспортных услуг по перевозке пассажиров, осуществляемых организациями и индивидуальными предпринимателями, с использованием </w:t>
            </w:r>
            <w:r w:rsidRPr="00731E94">
              <w:lastRenderedPageBreak/>
              <w:t>автобусов, микроавтобусов до 15 пассажирских мест включительно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lastRenderedPageBreak/>
              <w:t>0,497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0,497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0,497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0,497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lastRenderedPageBreak/>
              <w:t>Оказание автотранспортных услуг по перевозке пассажиров, осуществляемых организациями и индивидуальными предпринимателями, с использованием автобусов, микроавтобусов свыше 15 пассажирских мест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0,662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0,662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0,662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0,662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Оказание автотранспортных услуг по перевозке грузов, осуществляемых организациями и индивидуальными предпринимателями, с использованием транспортных средств грузоподъемностью до 3 тонн включительно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0,496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0,645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0,496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0,496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Оказание автотранспортных услуг по перевозке грузов, осуществляемых организациями и индивидуальными предпринимателями, с использованием грузовых автомобилей грузоподъемностью свыше 3 тонн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0,826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0,826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0,826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0,774</w:t>
            </w:r>
          </w:p>
        </w:tc>
      </w:tr>
      <w:tr w:rsidR="00731E94" w:rsidRPr="00731E94">
        <w:tc>
          <w:tcPr>
            <w:tcW w:w="8795" w:type="dxa"/>
            <w:gridSpan w:val="5"/>
          </w:tcPr>
          <w:p w:rsidR="005170D4" w:rsidRPr="00731E94" w:rsidRDefault="005170D4">
            <w:pPr>
              <w:pStyle w:val="ConsPlusNormal"/>
            </w:pPr>
            <w:r w:rsidRPr="00731E94">
              <w:t>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Розничная торговля, осуществляемая через объекты стационарной торговой сети, имеющие торговые залы не более 150 кв. м (с продажей винно-водочных изделий, пива, кожаных, меховых, ювелирных изделий, технически сложных товаров и мебели)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0,530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0,357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0,107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Розничная торговля, осуществляемая через объекты стационарной торговой сети, имеющие торговые залы не более 150 кв. м (без продажи винно-водочных изделий, пива, кожаных, меховых, ювелирных изделий, технически сложных товаров и мебели)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0,427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0,285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0,107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Розничная торговля предметами похоронного ритуала и похоронными принадлежностями, осуществляемая через объекты стационарной торговой сети, имеющие торговые залы не более 150 кв. м по каждому объекту организации торговли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0,277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0,224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0,107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Розничная торговля, осуществляемая через объекты стационарной торговой сети, имеющие торговые залы не более 150 кв. м, при реализации книжной продукции, связанной с образованием, наукой и культурой, продукции полиграфической промышленности, а также продуктов детского </w:t>
            </w:r>
            <w:r w:rsidRPr="00731E94">
              <w:lastRenderedPageBreak/>
              <w:t>питания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lastRenderedPageBreak/>
              <w:t>0,184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0,146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0,107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8795" w:type="dxa"/>
            <w:gridSpan w:val="5"/>
          </w:tcPr>
          <w:p w:rsidR="005170D4" w:rsidRPr="00731E94" w:rsidRDefault="005170D4">
            <w:pPr>
              <w:pStyle w:val="ConsPlusNormal"/>
              <w:jc w:val="both"/>
            </w:pPr>
            <w:r w:rsidRPr="00731E94">
              <w:lastRenderedPageBreak/>
              <w:t>7. Розничная торговля, осуществляемая через объекты стационарной торговой сети, не имеющие торговых залов, а также объекты нестационарной торговой сети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Розничная торговля, осуществляемая в объектах стационарной торговой сети, также в объектах нестационарной торговой сети (с продажей табачных, кожаных, меховых изделий, технически сложных товаров и мебели), площадь торгового места в которых не превышает 5 квадратных метров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0,566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0,459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0,277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Розничная торговля, осуществляемая через объекты стационарной торговой сети, а также объекты нестационарной торговой сети (с продажей табачных, кожаных, меховых изделий, технически сложных товаров и мебели), площадь торгового места не превышает 5 квадратных метров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0,338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0,277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Розничная торговля, осуществляемая через объекты стационарной торговой сети, а также в объектах нестационарной торговой сети (без продажи табачных, кожаных, меховых изделий, технически сложных товаров и мебели), площадь торгового места в которых не превышает 5 квадратных метров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0,192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0,146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Розничная торговля предметами похоронного ритуала и похоронными принадлежностями, осуществляемая через объекты стационарной торговой сети, не имеющие торговых залов, а также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0,175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0,139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Розничная торговля, осуществляемая через объекты стационарной торговой сети, а также объекты нестационарной торговой сети при реализации книжной продукции, связанной с образованием, наукой и культурой, продукции полиграфической промышленности, реализации продуктов детского питания, площадь торгового места в которых не превышает 5 квадратных метров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0,175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0,139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0,096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Розничная торговля, осуществляемая в объектах стационарной торговой сети, а также в объектах нестационарной торговой сети (с продажей табачных, кожаных, меховых изделий, технически сложных товаров и мебели), площадь торгового места в которых превышает 5 квадратных метров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0,317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0,266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0,1920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lastRenderedPageBreak/>
              <w:t>Розничная торговля, осуществляемая в объектах стационарной торговой сети, также в объектах нестационарной торговой сети (без продажи табачных, кожаных, меховых изделий, технически сложных товаров и мебели), площадь торгового места в которых превышает 5 квадратных метров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0,300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0,241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0,134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Розничная торговля предметами похоронного ритуала и похоронными принадлежностями, осуществляемая через объекты стационарной торговой сети, не имеющие торговых залов, а также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0,160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0,126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0,107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Розничная торговля, осуществляемая через объекты стационарной торговой сети, а также объекты нестационарной торговой сети при реализации книжной продукции, связанной с образованием, наукой и культурой, продукции полиграфической промышленности, реализации продуктов детского питания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0,160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0,126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0,107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Разносная (развозная)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0,353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0,310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0,203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0,107</w:t>
            </w:r>
          </w:p>
        </w:tc>
      </w:tr>
      <w:tr w:rsidR="00731E94" w:rsidRPr="00731E94">
        <w:tc>
          <w:tcPr>
            <w:tcW w:w="8795" w:type="dxa"/>
            <w:gridSpan w:val="5"/>
          </w:tcPr>
          <w:p w:rsidR="005170D4" w:rsidRPr="00731E94" w:rsidRDefault="005170D4">
            <w:pPr>
              <w:pStyle w:val="ConsPlusNormal"/>
            </w:pPr>
            <w:r w:rsidRPr="00731E94">
              <w:t>Розничная торговля, осуществляемая через киоски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Розничная торговля, осуществляемая через киоски, площадь торгового места в которых не превышает 5 квадратных метров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0,363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0,288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0,177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Розничная торговля, осуществляемая через киоски, площадь торгового места в которых превышает 5 квадратных метров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0,301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0,240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0,139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8795" w:type="dxa"/>
            <w:gridSpan w:val="5"/>
          </w:tcPr>
          <w:p w:rsidR="005170D4" w:rsidRPr="00731E94" w:rsidRDefault="005170D4">
            <w:pPr>
              <w:pStyle w:val="ConsPlusNormal"/>
            </w:pPr>
            <w:r w:rsidRPr="00731E94">
              <w:t>8. Оказание услуг общественного питания, осуществляемых через объекты организации общественного питания с площадью зала обслуживания не более 150 кв. м по каждому объекту организации общественного питания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Оказание услуг общественного питания, осуществляемых с использованием легковозводимых сборно-разборных конструкций (площадь зала обслуживания посетителей с учетом площади открытой площадки не более 70 кв. м)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0,444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0,363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0,117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Оказание услуг общественного питания, осуществляемых с использованием </w:t>
            </w:r>
            <w:r w:rsidRPr="00731E94">
              <w:lastRenderedPageBreak/>
              <w:t>легковозводимых сборно-разборных конструкций (площадь зала обслуживания посетителей с учетом площади открытой площадки более 70 кв. м до 150 кв. м включительно)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lastRenderedPageBreak/>
              <w:t>0,370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0,294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0,117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lastRenderedPageBreak/>
              <w:t>Оказание услуг общественного питания с продажей винно-водочных изделий, пива (площадь зала обслуживания посетителей до 150 кв. м включительно)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0,516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0,413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Оказание услуг общественного питания без продажи винно-водочных изделий, пива (площадь зала обслуживания посетителей не более 70 кв. м)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0,220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0,176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Оказание услуг общественного питания без продажи винно-водочных изделий, пива (площадь зала обслуживания посетителей более 70 кв. м до 150 кв. м включительно)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0,192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0,153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8795" w:type="dxa"/>
            <w:gridSpan w:val="5"/>
          </w:tcPr>
          <w:p w:rsidR="005170D4" w:rsidRPr="00731E94" w:rsidRDefault="005170D4">
            <w:pPr>
              <w:pStyle w:val="ConsPlusNormal"/>
            </w:pPr>
            <w:r w:rsidRPr="00731E94">
              <w:t>9. Оказание услуг общественного питания, осуществляемых через объекты организации питания, не имеющие зала обслуживания посетителей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 (киоски, палатки, торговые автоматы и др. аналогичные точки общественного питания)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0,821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0,856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0,251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0,117</w:t>
            </w:r>
          </w:p>
        </w:tc>
      </w:tr>
      <w:tr w:rsidR="00731E94" w:rsidRPr="00731E94">
        <w:tc>
          <w:tcPr>
            <w:tcW w:w="8795" w:type="dxa"/>
            <w:gridSpan w:val="5"/>
          </w:tcPr>
          <w:p w:rsidR="005170D4" w:rsidRPr="00731E94" w:rsidRDefault="005170D4">
            <w:pPr>
              <w:pStyle w:val="ConsPlusNormal"/>
            </w:pPr>
            <w:r w:rsidRPr="00731E94">
              <w:t>10. Распространение наружной рекламы с использованием рекламных конструкций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Распространение наружной рекламы с использованием рекламных конструкций (за исключением конструкций с автоматической сменой изображения)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Распространение наружной рекламы с автоматической сменой изображения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Распространение наружной рекламы посредством электронных табло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0,139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0,139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0,139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0,139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Распространение социальной рекламы на возмездной основе, осуществляемой за плату на основании договора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</w:tr>
      <w:tr w:rsidR="00731E94" w:rsidRPr="00731E94">
        <w:tc>
          <w:tcPr>
            <w:tcW w:w="8795" w:type="dxa"/>
            <w:gridSpan w:val="5"/>
          </w:tcPr>
          <w:p w:rsidR="005170D4" w:rsidRPr="00731E94" w:rsidRDefault="005170D4">
            <w:pPr>
              <w:pStyle w:val="ConsPlusNormal"/>
            </w:pPr>
            <w:r w:rsidRPr="00731E94">
              <w:t>11. Распространение рекламы на транспортных средствах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Распространение рекламы на любых видах транспортных средств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0,128</w:t>
            </w:r>
          </w:p>
        </w:tc>
      </w:tr>
      <w:tr w:rsidR="00731E94" w:rsidRPr="00731E94">
        <w:tc>
          <w:tcPr>
            <w:tcW w:w="8795" w:type="dxa"/>
            <w:gridSpan w:val="5"/>
          </w:tcPr>
          <w:p w:rsidR="005170D4" w:rsidRPr="00731E94" w:rsidRDefault="005170D4">
            <w:pPr>
              <w:pStyle w:val="ConsPlusNormal"/>
            </w:pPr>
            <w:r w:rsidRPr="00731E94">
              <w:t xml:space="preserve"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</w:t>
            </w:r>
            <w:r w:rsidRPr="00731E94">
              <w:lastRenderedPageBreak/>
              <w:t>квадратных метров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lastRenderedPageBreak/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0,854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0,854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0,854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0,854</w:t>
            </w:r>
          </w:p>
        </w:tc>
      </w:tr>
      <w:tr w:rsidR="00731E94" w:rsidRPr="00731E94">
        <w:tc>
          <w:tcPr>
            <w:tcW w:w="8795" w:type="dxa"/>
            <w:gridSpan w:val="5"/>
          </w:tcPr>
          <w:p w:rsidR="005170D4" w:rsidRPr="00731E94" w:rsidRDefault="005170D4">
            <w:pPr>
              <w:pStyle w:val="ConsPlusNormal"/>
            </w:pPr>
            <w:r w:rsidRPr="00731E94">
              <w:t>13.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(прилавков, палаток, ларьков, контейнеров, боксов и других объектов), а также объектов организации общественного питания, не имеющих залов обслуживания посетителей, в которых площадь одного торгового места объекта нестационарной торговой сети или объекта организации общественного питания не превышает 5 квадратных метров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0,184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0,146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0,107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(прилавков, палаток, ларьков, контейнеров, боксов и других объектов), а также объектов организации общественного питания, не имеющих залов обслуживания посетителей, в которых площадь одного торгового места объекта нестационарной торговой сети или объекта организации общественного питания превышает 5 квадратных метров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0,169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0,139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0,107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0,053</w:t>
            </w:r>
          </w:p>
        </w:tc>
      </w:tr>
      <w:tr w:rsidR="00731E94" w:rsidRPr="00731E94">
        <w:tc>
          <w:tcPr>
            <w:tcW w:w="8795" w:type="dxa"/>
            <w:gridSpan w:val="5"/>
          </w:tcPr>
          <w:p w:rsidR="005170D4" w:rsidRPr="00731E94" w:rsidRDefault="005170D4">
            <w:pPr>
              <w:pStyle w:val="ConsPlusNormal"/>
            </w:pPr>
            <w:r w:rsidRPr="00731E94">
              <w:t>14.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</w:tr>
      <w:tr w:rsidR="00731E9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t xml:space="preserve">Оказание услуг по передаче во временное владение и (или) в пользование земельных участков площадью, не превышающей 10 квадратных метров, для размещения объектов стационарной и нестационарной торговой </w:t>
            </w:r>
            <w:r w:rsidRPr="00731E94">
              <w:lastRenderedPageBreak/>
              <w:t>сети, а также объектов организации общественного питания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lastRenderedPageBreak/>
              <w:t>0,399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285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107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  <w:tr w:rsidR="005170D4" w:rsidRPr="00731E94">
        <w:tc>
          <w:tcPr>
            <w:tcW w:w="4568" w:type="dxa"/>
          </w:tcPr>
          <w:p w:rsidR="005170D4" w:rsidRPr="00731E94" w:rsidRDefault="005170D4">
            <w:pPr>
              <w:pStyle w:val="ConsPlusNormal"/>
            </w:pPr>
            <w:r w:rsidRPr="00731E94">
              <w:lastRenderedPageBreak/>
              <w:t>Оказание услуг по передаче во временное владение и (или) в пользование земельных участков площадью, превышающей 10 квадратных метров,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022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0,205</w:t>
            </w:r>
          </w:p>
        </w:tc>
        <w:tc>
          <w:tcPr>
            <w:tcW w:w="1063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0,171</w:t>
            </w:r>
          </w:p>
        </w:tc>
        <w:tc>
          <w:tcPr>
            <w:tcW w:w="1085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0,107</w:t>
            </w:r>
          </w:p>
        </w:tc>
        <w:tc>
          <w:tcPr>
            <w:tcW w:w="1057" w:type="dxa"/>
          </w:tcPr>
          <w:p w:rsidR="005170D4" w:rsidRPr="00731E94" w:rsidRDefault="005170D4">
            <w:pPr>
              <w:pStyle w:val="ConsPlusNormal"/>
              <w:jc w:val="center"/>
            </w:pPr>
            <w:r w:rsidRPr="00731E94">
              <w:t>0,054</w:t>
            </w:r>
          </w:p>
        </w:tc>
      </w:tr>
    </w:tbl>
    <w:p w:rsidR="005170D4" w:rsidRPr="00731E94" w:rsidRDefault="005170D4">
      <w:pPr>
        <w:pStyle w:val="ConsPlusNormal"/>
        <w:ind w:firstLine="540"/>
        <w:jc w:val="both"/>
      </w:pPr>
    </w:p>
    <w:p w:rsidR="005170D4" w:rsidRPr="00731E94" w:rsidRDefault="00731E94">
      <w:pPr>
        <w:pStyle w:val="ConsPlusNormal"/>
        <w:ind w:firstLine="540"/>
        <w:jc w:val="both"/>
      </w:pPr>
      <w:hyperlink w:anchor="P42" w:history="1">
        <w:r w:rsidR="005170D4" w:rsidRPr="00731E94">
          <w:t>Группа 1</w:t>
        </w:r>
      </w:hyperlink>
      <w:r w:rsidR="005170D4" w:rsidRPr="00731E94">
        <w:t>: объекты, расположенные вдоль автомобильных дорог вне населенных пунктов.</w:t>
      </w:r>
    </w:p>
    <w:p w:rsidR="005170D4" w:rsidRPr="00731E94" w:rsidRDefault="00731E94">
      <w:pPr>
        <w:pStyle w:val="ConsPlusNormal"/>
        <w:ind w:firstLine="540"/>
        <w:jc w:val="both"/>
      </w:pPr>
      <w:hyperlink w:anchor="P43" w:history="1">
        <w:r w:rsidR="005170D4" w:rsidRPr="00731E94">
          <w:t>Группа 2</w:t>
        </w:r>
      </w:hyperlink>
      <w:r w:rsidR="005170D4" w:rsidRPr="00731E94">
        <w:t>: г. Сураж.</w:t>
      </w:r>
    </w:p>
    <w:p w:rsidR="005170D4" w:rsidRPr="00731E94" w:rsidRDefault="00731E94">
      <w:pPr>
        <w:pStyle w:val="ConsPlusNormal"/>
        <w:ind w:firstLine="540"/>
        <w:jc w:val="both"/>
      </w:pPr>
      <w:hyperlink w:anchor="P44" w:history="1">
        <w:r w:rsidR="005170D4" w:rsidRPr="00731E94">
          <w:t>Группа 3</w:t>
        </w:r>
      </w:hyperlink>
      <w:r w:rsidR="005170D4" w:rsidRPr="00731E94">
        <w:t xml:space="preserve">: с. </w:t>
      </w:r>
      <w:proofErr w:type="spellStart"/>
      <w:r w:rsidR="005170D4" w:rsidRPr="00731E94">
        <w:t>Влазовичи</w:t>
      </w:r>
      <w:proofErr w:type="spellEnd"/>
      <w:r w:rsidR="005170D4" w:rsidRPr="00731E94">
        <w:t xml:space="preserve">, д. Красная Слобода, с. </w:t>
      </w:r>
      <w:proofErr w:type="spellStart"/>
      <w:r w:rsidR="005170D4" w:rsidRPr="00731E94">
        <w:t>Далисичи</w:t>
      </w:r>
      <w:proofErr w:type="spellEnd"/>
      <w:r w:rsidR="005170D4" w:rsidRPr="00731E94">
        <w:t xml:space="preserve">, с. </w:t>
      </w:r>
      <w:proofErr w:type="spellStart"/>
      <w:r w:rsidR="005170D4" w:rsidRPr="00731E94">
        <w:t>Дегтяревка</w:t>
      </w:r>
      <w:proofErr w:type="spellEnd"/>
      <w:r w:rsidR="005170D4" w:rsidRPr="00731E94">
        <w:t xml:space="preserve">, с. Дубровка, с. </w:t>
      </w:r>
      <w:proofErr w:type="spellStart"/>
      <w:r w:rsidR="005170D4" w:rsidRPr="00731E94">
        <w:t>Душатин</w:t>
      </w:r>
      <w:proofErr w:type="spellEnd"/>
      <w:r w:rsidR="005170D4" w:rsidRPr="00731E94">
        <w:t xml:space="preserve">, д. Каменск, п. Лесное, с. Кулаги, с. </w:t>
      </w:r>
      <w:proofErr w:type="spellStart"/>
      <w:r w:rsidR="005170D4" w:rsidRPr="00731E94">
        <w:t>Лопазна</w:t>
      </w:r>
      <w:proofErr w:type="spellEnd"/>
      <w:r w:rsidR="005170D4" w:rsidRPr="00731E94">
        <w:t xml:space="preserve">, с. </w:t>
      </w:r>
      <w:proofErr w:type="spellStart"/>
      <w:r w:rsidR="005170D4" w:rsidRPr="00731E94">
        <w:t>Костеничи</w:t>
      </w:r>
      <w:proofErr w:type="spellEnd"/>
      <w:r w:rsidR="005170D4" w:rsidRPr="00731E94">
        <w:t xml:space="preserve">, с. </w:t>
      </w:r>
      <w:proofErr w:type="spellStart"/>
      <w:r w:rsidR="005170D4" w:rsidRPr="00731E94">
        <w:t>Ляличи</w:t>
      </w:r>
      <w:proofErr w:type="spellEnd"/>
      <w:r w:rsidR="005170D4" w:rsidRPr="00731E94">
        <w:t xml:space="preserve">, с. </w:t>
      </w:r>
      <w:proofErr w:type="spellStart"/>
      <w:r w:rsidR="005170D4" w:rsidRPr="00731E94">
        <w:t>Нивное</w:t>
      </w:r>
      <w:proofErr w:type="spellEnd"/>
      <w:r w:rsidR="005170D4" w:rsidRPr="00731E94">
        <w:t xml:space="preserve">, с. Новый Дроков, с. </w:t>
      </w:r>
      <w:proofErr w:type="spellStart"/>
      <w:r w:rsidR="005170D4" w:rsidRPr="00731E94">
        <w:t>Высокоселище</w:t>
      </w:r>
      <w:proofErr w:type="spellEnd"/>
      <w:r w:rsidR="005170D4" w:rsidRPr="00731E94">
        <w:t xml:space="preserve">, с. </w:t>
      </w:r>
      <w:proofErr w:type="spellStart"/>
      <w:r w:rsidR="005170D4" w:rsidRPr="00731E94">
        <w:t>Овчинец</w:t>
      </w:r>
      <w:proofErr w:type="spellEnd"/>
      <w:r w:rsidR="005170D4" w:rsidRPr="00731E94">
        <w:t xml:space="preserve">, д. Калинки, д. </w:t>
      </w:r>
      <w:proofErr w:type="spellStart"/>
      <w:r w:rsidR="005170D4" w:rsidRPr="00731E94">
        <w:t>Слище</w:t>
      </w:r>
      <w:proofErr w:type="spellEnd"/>
      <w:r w:rsidR="005170D4" w:rsidRPr="00731E94">
        <w:t xml:space="preserve">, д. </w:t>
      </w:r>
      <w:proofErr w:type="spellStart"/>
      <w:r w:rsidR="005170D4" w:rsidRPr="00731E94">
        <w:t>Струженка</w:t>
      </w:r>
      <w:proofErr w:type="spellEnd"/>
      <w:r w:rsidR="005170D4" w:rsidRPr="00731E94">
        <w:t>.</w:t>
      </w:r>
    </w:p>
    <w:p w:rsidR="005170D4" w:rsidRPr="00731E94" w:rsidRDefault="00731E94">
      <w:pPr>
        <w:pStyle w:val="ConsPlusNormal"/>
        <w:ind w:firstLine="540"/>
        <w:jc w:val="both"/>
      </w:pPr>
      <w:hyperlink w:anchor="P45" w:history="1">
        <w:r w:rsidR="005170D4" w:rsidRPr="00731E94">
          <w:t>Группа 4</w:t>
        </w:r>
      </w:hyperlink>
      <w:r w:rsidR="005170D4" w:rsidRPr="00731E94">
        <w:t>: прочие населенные пункты района.</w:t>
      </w:r>
    </w:p>
    <w:p w:rsidR="005170D4" w:rsidRPr="00731E94" w:rsidRDefault="005170D4">
      <w:pPr>
        <w:pStyle w:val="ConsPlusNormal"/>
        <w:ind w:firstLine="540"/>
        <w:jc w:val="both"/>
      </w:pPr>
    </w:p>
    <w:p w:rsidR="005170D4" w:rsidRPr="00731E94" w:rsidRDefault="005170D4">
      <w:pPr>
        <w:pStyle w:val="ConsPlusNormal"/>
        <w:ind w:firstLine="540"/>
        <w:jc w:val="both"/>
      </w:pPr>
    </w:p>
    <w:p w:rsidR="005170D4" w:rsidRPr="00731E94" w:rsidRDefault="005170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518F" w:rsidRPr="00731E94" w:rsidRDefault="0054518F">
      <w:bookmarkStart w:id="5" w:name="_GoBack"/>
      <w:bookmarkEnd w:id="5"/>
    </w:p>
    <w:sectPr w:rsidR="0054518F" w:rsidRPr="00731E94" w:rsidSect="00D5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0D4"/>
    <w:rsid w:val="005170D4"/>
    <w:rsid w:val="0054518F"/>
    <w:rsid w:val="0073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0D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170D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170D4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11B3AB93E0E925A4052FC7C146F66EA24BFE345F2AB32139D54CA944701ABEE671FA020760EE8h5D9I" TargetMode="External"/><Relationship Id="rId13" Type="http://schemas.openxmlformats.org/officeDocument/2006/relationships/hyperlink" Target="consultantplus://offline/ref=A5A11B3AB93E0E925A4052FC7C146F66EA24BFE345F2AB32139D54CA944701ABEE671FA020760EE6h5DFI" TargetMode="External"/><Relationship Id="rId18" Type="http://schemas.openxmlformats.org/officeDocument/2006/relationships/hyperlink" Target="consultantplus://offline/ref=A5A11B3AB93E0E925A4052FC7C146F66EA24BFE345F2AB32139D54CA944701ABEE671FA020760DE0h5D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A11B3AB93E0E925A4052FC7C146F66EA24BFE345F2AB32139D54CA944701ABEE671FA020760DE4h5DCI" TargetMode="External"/><Relationship Id="rId7" Type="http://schemas.openxmlformats.org/officeDocument/2006/relationships/hyperlink" Target="consultantplus://offline/ref=A5A11B3AB93E0E925A4052FC7C146F66EA24BFE345F2AB32139D54CA944701ABEE671FA020760DE0h5DAI" TargetMode="External"/><Relationship Id="rId12" Type="http://schemas.openxmlformats.org/officeDocument/2006/relationships/hyperlink" Target="consultantplus://offline/ref=A5A11B3AB93E0E925A4052FC7C146F66EA24BFE345F2AB32139D54CA944701ABEE671FA020760EE8h5DDI" TargetMode="External"/><Relationship Id="rId17" Type="http://schemas.openxmlformats.org/officeDocument/2006/relationships/hyperlink" Target="consultantplus://offline/ref=A5A11B3AB93E0E925A4052FC7C146F66EA24BFE345F2AB32139D54CA944701ABEE671FA020760EE6h5D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A11B3AB93E0E925A4052FC7C146F66EA24BFE345F2AB32139D54CA944701ABEE671FA020760EE9h5D8I" TargetMode="External"/><Relationship Id="rId20" Type="http://schemas.openxmlformats.org/officeDocument/2006/relationships/hyperlink" Target="consultantplus://offline/ref=A5A11B3AB93E0E925A4052FC7C146F66EA24BFE345F2AB32139D54CA944701ABEE671FA020760EE9h5D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A11B3AB93E0E925A4052FC7C146F66EA24BFE345F2AB32139D54CA944701ABEE671FA020760EE7h5DBI" TargetMode="External"/><Relationship Id="rId11" Type="http://schemas.openxmlformats.org/officeDocument/2006/relationships/hyperlink" Target="consultantplus://offline/ref=A5A11B3AB93E0E925A4052FC7C146F66EA24BFE345F2AB32139D54CA944701ABEE671FA020760EE8h5DFI" TargetMode="External"/><Relationship Id="rId5" Type="http://schemas.openxmlformats.org/officeDocument/2006/relationships/hyperlink" Target="consultantplus://offline/ref=A5A11B3AB93E0E925A4052FC7C146F66EA24BFE345F2AB32139D54CA94h4D7I" TargetMode="External"/><Relationship Id="rId15" Type="http://schemas.openxmlformats.org/officeDocument/2006/relationships/hyperlink" Target="consultantplus://offline/ref=A5A11B3AB93E0E925A4052FC7C146F66EA24BFE345F2AB32139D54CA944701ABEE671FA020760EE7h5D9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5A11B3AB93E0E925A4052FC7C146F66EA24BFE345F2AB32139D54CA944701ABEE671FA020760EE7h5D7I" TargetMode="External"/><Relationship Id="rId19" Type="http://schemas.openxmlformats.org/officeDocument/2006/relationships/hyperlink" Target="consultantplus://offline/ref=A5A11B3AB93E0E925A4052FC7C146F66EA24BFE345F2AB32139D54CA944701ABEE671FA020760DE0h5D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A11B3AB93E0E925A4052FC7C146F66EA24BFE345F2AB32139D54CA944701ABEE671FA020760EE9h5DFI" TargetMode="External"/><Relationship Id="rId14" Type="http://schemas.openxmlformats.org/officeDocument/2006/relationships/hyperlink" Target="consultantplus://offline/ref=A5A11B3AB93E0E925A4052FC7C146F66EA24BFE345F2AB32139D54CA944701ABEE671FA020760EE6h5D9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г.Брянску</Company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Павлюченкова Татьяна Николаевна</dc:creator>
  <cp:lastModifiedBy>Сосновская Е.И.</cp:lastModifiedBy>
  <cp:revision>2</cp:revision>
  <dcterms:created xsi:type="dcterms:W3CDTF">2016-09-20T08:03:00Z</dcterms:created>
  <dcterms:modified xsi:type="dcterms:W3CDTF">2016-10-11T12:11:00Z</dcterms:modified>
</cp:coreProperties>
</file>